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B0B98" w14:textId="77777777" w:rsidR="007C5717" w:rsidRDefault="00000000">
      <w:pPr>
        <w:snapToGrid w:val="0"/>
        <w:jc w:val="left"/>
        <w:rPr>
          <w:rFonts w:ascii="黑体" w:eastAsia="黑体" w:hAnsi="黑体" w:cs="Arial" w:hint="eastAsia"/>
          <w:color w:val="333333"/>
          <w:kern w:val="0"/>
          <w:sz w:val="32"/>
          <w:szCs w:val="32"/>
        </w:rPr>
      </w:pPr>
      <w:r>
        <w:rPr>
          <w:rFonts w:ascii="黑体" w:eastAsia="黑体" w:hAnsi="黑体" w:cs="Arial" w:hint="eastAsia"/>
          <w:color w:val="333333"/>
          <w:kern w:val="0"/>
          <w:sz w:val="32"/>
          <w:szCs w:val="32"/>
        </w:rPr>
        <w:t>附件1</w:t>
      </w:r>
    </w:p>
    <w:p w14:paraId="0948B0EC" w14:textId="77777777" w:rsidR="007C5717" w:rsidRDefault="007C5717">
      <w:pPr>
        <w:snapToGrid w:val="0"/>
        <w:jc w:val="left"/>
        <w:rPr>
          <w:rFonts w:ascii="黑体" w:eastAsia="黑体" w:hAnsi="黑体" w:cs="Arial" w:hint="eastAsia"/>
          <w:color w:val="333333"/>
          <w:kern w:val="0"/>
          <w:sz w:val="32"/>
          <w:szCs w:val="32"/>
        </w:rPr>
      </w:pPr>
    </w:p>
    <w:p w14:paraId="44B7F406" w14:textId="77777777" w:rsidR="007C5717" w:rsidRDefault="00000000">
      <w:pPr>
        <w:snapToGrid w:val="0"/>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中国工程科技发展战略河南研究院</w:t>
      </w:r>
    </w:p>
    <w:p w14:paraId="60195D0C" w14:textId="77777777" w:rsidR="007C5717" w:rsidRDefault="00000000">
      <w:pPr>
        <w:snapToGrid w:val="0"/>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2025年咨询研究项目指南</w:t>
      </w:r>
    </w:p>
    <w:p w14:paraId="48139184" w14:textId="77777777" w:rsidR="007C5717" w:rsidRDefault="007C5717">
      <w:pPr>
        <w:adjustRightInd w:val="0"/>
        <w:ind w:firstLineChars="200" w:firstLine="640"/>
        <w:rPr>
          <w:rFonts w:ascii="仿宋_GB2312" w:eastAsia="仿宋_GB2312" w:hAnsi="仿宋_GB2312" w:cs="仿宋_GB2312" w:hint="eastAsia"/>
          <w:color w:val="000000"/>
          <w:sz w:val="32"/>
          <w:szCs w:val="32"/>
        </w:rPr>
      </w:pPr>
    </w:p>
    <w:p w14:paraId="31C24DF8"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为进一步推进中国工程科技发展战略河南研究院（以下简称“河南研究院”）区域性工程科技</w:t>
      </w:r>
      <w:proofErr w:type="gramStart"/>
      <w:r>
        <w:rPr>
          <w:rFonts w:ascii="仿宋_GB2312" w:eastAsia="仿宋_GB2312" w:hAnsi="仿宋_GB2312" w:cs="仿宋_GB2312" w:hint="eastAsia"/>
          <w:color w:val="000000"/>
          <w:sz w:val="32"/>
          <w:szCs w:val="32"/>
        </w:rPr>
        <w:t>高端智库建设</w:t>
      </w:r>
      <w:proofErr w:type="gramEnd"/>
      <w:r>
        <w:rPr>
          <w:rFonts w:ascii="仿宋_GB2312" w:eastAsia="仿宋_GB2312" w:hAnsi="仿宋_GB2312" w:cs="仿宋_GB2312" w:hint="eastAsia"/>
          <w:color w:val="000000"/>
          <w:sz w:val="32"/>
          <w:szCs w:val="32"/>
        </w:rPr>
        <w:t>，规范咨询研究项目选题，提高咨询研究质量，我们组织编制了《中国工程科技发展战略河南研究院2025年咨询研究项目指南》，作为2025年咨询研究项目申请和评审的重要依据。</w:t>
      </w:r>
    </w:p>
    <w:p w14:paraId="0635F4D8" w14:textId="77777777" w:rsidR="007C5717" w:rsidRDefault="00000000">
      <w:pPr>
        <w:adjustRightInd w:val="0"/>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一、申请主体</w:t>
      </w:r>
    </w:p>
    <w:p w14:paraId="5EFEBC76"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项目申请人须为院士。同一申请人申请主持2025年度项目的数量不超过1项。</w:t>
      </w:r>
    </w:p>
    <w:p w14:paraId="6D90EB55" w14:textId="77777777" w:rsidR="007C5717" w:rsidRDefault="00000000">
      <w:pPr>
        <w:adjustRightInd w:val="0"/>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二、项目性质和类别</w:t>
      </w:r>
    </w:p>
    <w:p w14:paraId="6BA10E5E"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在项目培育、评审、立项和项目具体实施过程中，应按照“服务决策</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rPr>
        <w:t>适度超前”的总体要求，本着“前瞻性、针对性、储备性”</w:t>
      </w:r>
      <w:r>
        <w:rPr>
          <w:rFonts w:ascii="仿宋_GB2312" w:eastAsia="仿宋_GB2312" w:hAnsi="仿宋_GB2312" w:cs="仿宋_GB2312" w:hint="eastAsia"/>
          <w:color w:val="000000"/>
          <w:sz w:val="32"/>
          <w:szCs w:val="32"/>
          <w:lang w:val="en"/>
        </w:rPr>
        <w:t>工作</w:t>
      </w:r>
      <w:r>
        <w:rPr>
          <w:rFonts w:ascii="仿宋_GB2312" w:eastAsia="仿宋_GB2312" w:hAnsi="仿宋_GB2312" w:cs="仿宋_GB2312" w:hint="eastAsia"/>
          <w:color w:val="000000"/>
          <w:sz w:val="32"/>
          <w:szCs w:val="32"/>
        </w:rPr>
        <w:t>原则，</w:t>
      </w:r>
      <w:r>
        <w:rPr>
          <w:rFonts w:ascii="仿宋_GB2312" w:eastAsia="仿宋_GB2312" w:hAnsi="仿宋_GB2312" w:cs="仿宋_GB2312" w:hint="eastAsia"/>
          <w:color w:val="000000"/>
          <w:sz w:val="32"/>
          <w:szCs w:val="32"/>
          <w:lang w:val="en"/>
        </w:rPr>
        <w:t>围绕</w:t>
      </w:r>
      <w:r>
        <w:rPr>
          <w:rFonts w:ascii="仿宋_GB2312" w:eastAsia="仿宋_GB2312" w:hAnsi="仿宋_GB2312" w:cs="仿宋_GB2312" w:hint="eastAsia"/>
          <w:color w:val="000000"/>
          <w:sz w:val="32"/>
          <w:szCs w:val="32"/>
        </w:rPr>
        <w:t>河南</w:t>
      </w:r>
      <w:r>
        <w:rPr>
          <w:rFonts w:ascii="仿宋_GB2312" w:eastAsia="仿宋_GB2312" w:hAnsi="仿宋_GB2312" w:cs="仿宋_GB2312" w:hint="eastAsia"/>
          <w:color w:val="000000"/>
          <w:sz w:val="32"/>
          <w:szCs w:val="32"/>
          <w:lang w:val="en"/>
        </w:rPr>
        <w:t>发展重大需求</w:t>
      </w:r>
      <w:r>
        <w:rPr>
          <w:rFonts w:ascii="仿宋_GB2312" w:eastAsia="仿宋_GB2312" w:hAnsi="仿宋_GB2312" w:cs="仿宋_GB2312" w:hint="eastAsia"/>
          <w:color w:val="000000"/>
          <w:sz w:val="32"/>
          <w:szCs w:val="32"/>
        </w:rPr>
        <w:t>，密切关注国家和世界工程科技发展战略新动向、新进展，瞄准先进工程科学技术，聚焦河南关键行业、重点产业中的重大工程技术问题，提出具有针对性、建设性的对策建议，并实施科技成果转移转化，促进产学研用深度融合，努力实现“为党委政府决策提供咨询和参考，为行业发展提供指导</w:t>
      </w:r>
      <w:r>
        <w:rPr>
          <w:rFonts w:ascii="仿宋_GB2312" w:eastAsia="仿宋_GB2312" w:hAnsi="仿宋_GB2312" w:cs="仿宋_GB2312" w:hint="eastAsia"/>
          <w:color w:val="000000"/>
          <w:sz w:val="32"/>
          <w:szCs w:val="32"/>
        </w:rPr>
        <w:lastRenderedPageBreak/>
        <w:t>性建议，为企业科技攻关和解决重大技术难题提供技术支持，为引智入豫搭建桥梁”的</w:t>
      </w:r>
      <w:r>
        <w:rPr>
          <w:rFonts w:ascii="仿宋_GB2312" w:eastAsia="仿宋_GB2312" w:hAnsi="仿宋_GB2312" w:cs="仿宋_GB2312" w:hint="eastAsia"/>
          <w:color w:val="000000"/>
          <w:sz w:val="32"/>
          <w:szCs w:val="32"/>
          <w:lang w:val="en"/>
        </w:rPr>
        <w:t>工作</w:t>
      </w:r>
      <w:r>
        <w:rPr>
          <w:rFonts w:ascii="仿宋_GB2312" w:eastAsia="仿宋_GB2312" w:hAnsi="仿宋_GB2312" w:cs="仿宋_GB2312" w:hint="eastAsia"/>
          <w:color w:val="000000"/>
          <w:sz w:val="32"/>
          <w:szCs w:val="32"/>
        </w:rPr>
        <w:t>目标。咨询研究项目的研究内容及目标、成果形式等须符合上述性质和定位。</w:t>
      </w:r>
    </w:p>
    <w:p w14:paraId="1CB11AF8"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咨询研究项目按照所涉及的领域和规模，分为重大咨询研究项目、重点咨询研究项目和一般咨询研究项目等三个类型（分别简称为重大项目、重点项目和一般项目）。</w:t>
      </w:r>
    </w:p>
    <w:p w14:paraId="51646872"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1.重大项目。</w:t>
      </w:r>
      <w:r>
        <w:rPr>
          <w:rFonts w:ascii="仿宋_GB2312" w:eastAsia="仿宋_GB2312" w:hAnsi="仿宋_GB2312" w:cs="仿宋_GB2312" w:hint="eastAsia"/>
          <w:color w:val="000000"/>
          <w:sz w:val="32"/>
          <w:szCs w:val="32"/>
        </w:rPr>
        <w:t>聚焦河南省经济社会发展中的全局性重大工程科技问题组织开展的战略性、前瞻性、综合性的咨询研究项目。</w:t>
      </w:r>
    </w:p>
    <w:p w14:paraId="1407BAC7"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2.重点项目。</w:t>
      </w:r>
      <w:r>
        <w:rPr>
          <w:rFonts w:ascii="仿宋_GB2312" w:eastAsia="仿宋_GB2312" w:hAnsi="仿宋_GB2312" w:cs="仿宋_GB2312" w:hint="eastAsia"/>
          <w:color w:val="000000"/>
          <w:sz w:val="32"/>
          <w:szCs w:val="32"/>
        </w:rPr>
        <w:t>聚焦河南省重点领域及行业内的重点问题组织开展的战略性、前瞻性、针对性咨询研究项目。</w:t>
      </w:r>
    </w:p>
    <w:p w14:paraId="07952436"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3.一般项目。</w:t>
      </w:r>
      <w:r>
        <w:rPr>
          <w:rFonts w:ascii="仿宋_GB2312" w:eastAsia="仿宋_GB2312" w:hAnsi="仿宋_GB2312" w:cs="仿宋_GB2312" w:hint="eastAsia"/>
          <w:color w:val="000000"/>
          <w:sz w:val="32"/>
          <w:szCs w:val="32"/>
        </w:rPr>
        <w:t>聚焦区域性重大工程科技问题组织开展的战略性、针对性咨询研究项目。</w:t>
      </w:r>
    </w:p>
    <w:p w14:paraId="7F9ADCC4"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重大</w:t>
      </w:r>
      <w:r>
        <w:rPr>
          <w:rFonts w:ascii="仿宋_GB2312" w:eastAsia="仿宋_GB2312" w:hAnsi="仿宋_GB2312" w:cs="仿宋_GB2312" w:hint="eastAsia"/>
          <w:color w:val="000000"/>
          <w:sz w:val="32"/>
          <w:szCs w:val="32"/>
          <w:lang w:val="en"/>
        </w:rPr>
        <w:t>项目</w:t>
      </w:r>
      <w:r>
        <w:rPr>
          <w:rFonts w:ascii="仿宋_GB2312" w:eastAsia="仿宋_GB2312" w:hAnsi="仿宋_GB2312" w:cs="仿宋_GB2312" w:hint="eastAsia"/>
          <w:color w:val="000000"/>
          <w:sz w:val="32"/>
          <w:szCs w:val="32"/>
        </w:rPr>
        <w:t>和重点项目可下设少量课题，一般项目</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下设课题。</w:t>
      </w:r>
    </w:p>
    <w:p w14:paraId="73145166" w14:textId="77777777" w:rsidR="007C5717" w:rsidRDefault="00000000">
      <w:pPr>
        <w:adjustRightInd w:val="0"/>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三、选题方向</w:t>
      </w:r>
    </w:p>
    <w:p w14:paraId="6D839C2E"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根据构建新发展格局、中部地区崛起、黄河流域生态保护和高质量发展国家战略需求和《河南省国民经济和社会发展第十四个五年规划和二</w:t>
      </w:r>
      <w:r>
        <w:rPr>
          <w:rFonts w:ascii="微软雅黑" w:eastAsia="微软雅黑" w:hAnsi="微软雅黑" w:cs="微软雅黑" w:hint="eastAsia"/>
          <w:color w:val="000000"/>
          <w:sz w:val="32"/>
          <w:szCs w:val="32"/>
        </w:rPr>
        <w:t>〇</w:t>
      </w:r>
      <w:r>
        <w:rPr>
          <w:rFonts w:ascii="仿宋_GB2312" w:eastAsia="仿宋_GB2312" w:hAnsi="仿宋_GB2312" w:cs="仿宋_GB2312" w:hint="eastAsia"/>
          <w:color w:val="000000"/>
          <w:sz w:val="32"/>
          <w:szCs w:val="32"/>
        </w:rPr>
        <w:t>三五年远景目标纲要》，锚定“两个确保”，实施“十大战略”，持续落</w:t>
      </w:r>
      <w:proofErr w:type="gramStart"/>
      <w:r>
        <w:rPr>
          <w:rFonts w:ascii="仿宋_GB2312" w:eastAsia="仿宋_GB2312" w:hAnsi="仿宋_GB2312" w:cs="仿宋_GB2312" w:hint="eastAsia"/>
          <w:color w:val="000000"/>
          <w:sz w:val="32"/>
          <w:szCs w:val="32"/>
        </w:rPr>
        <w:t>实习近</w:t>
      </w:r>
      <w:proofErr w:type="gramEnd"/>
      <w:r>
        <w:rPr>
          <w:rFonts w:ascii="仿宋_GB2312" w:eastAsia="仿宋_GB2312" w:hAnsi="仿宋_GB2312" w:cs="仿宋_GB2312" w:hint="eastAsia"/>
          <w:color w:val="000000"/>
          <w:sz w:val="32"/>
          <w:szCs w:val="32"/>
        </w:rPr>
        <w:t>平总书记提出的“四个着力”、“四张牌”等重大要求，把握战略方向，突出战略重点，聚焦河南“7+28+N”产业链群和未来产业发展，聚焦河南现代化产业体系建设，选择一个领域中的某个主要方向开展研究，或跨领域选择某个方向进行</w:t>
      </w:r>
      <w:r>
        <w:rPr>
          <w:rFonts w:ascii="仿宋_GB2312" w:eastAsia="仿宋_GB2312" w:hAnsi="仿宋_GB2312" w:cs="仿宋_GB2312" w:hint="eastAsia"/>
          <w:color w:val="000000"/>
          <w:sz w:val="32"/>
          <w:szCs w:val="32"/>
        </w:rPr>
        <w:lastRenderedPageBreak/>
        <w:t>系统综合研究。</w:t>
      </w:r>
    </w:p>
    <w:p w14:paraId="6D0B80BA" w14:textId="77777777" w:rsidR="007C5717" w:rsidRDefault="00000000">
      <w:pPr>
        <w:adjustRightInd w:val="0"/>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（一）“7+28+N”产业链群领域</w:t>
      </w:r>
    </w:p>
    <w:p w14:paraId="6D564EB0"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1.新型材料领域：先进超硬材料、尼龙新材料、铝基新材料、铜基新材料、先进合金材料（钨钼钛镁等）、化工新材料、先进钢铁材料、绿色建筑材料、装配式建筑、先进陶瓷材料、空</w:t>
      </w:r>
      <w:proofErr w:type="gramStart"/>
      <w:r>
        <w:rPr>
          <w:rFonts w:ascii="仿宋_GB2312" w:eastAsia="仿宋_GB2312" w:hAnsi="仿宋_GB2312" w:cs="仿宋_GB2312" w:hint="eastAsia"/>
          <w:color w:val="000000"/>
          <w:sz w:val="32"/>
          <w:szCs w:val="32"/>
        </w:rPr>
        <w:t>天材料</w:t>
      </w:r>
      <w:proofErr w:type="gramEnd"/>
      <w:r>
        <w:rPr>
          <w:rFonts w:ascii="仿宋_GB2312" w:eastAsia="仿宋_GB2312" w:hAnsi="仿宋_GB2312" w:cs="仿宋_GB2312" w:hint="eastAsia"/>
          <w:color w:val="000000"/>
          <w:sz w:val="32"/>
          <w:szCs w:val="32"/>
        </w:rPr>
        <w:t>等。</w:t>
      </w:r>
    </w:p>
    <w:p w14:paraId="23159E2A"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2.新能源汽车领域：新能源汽车整车、零部件、后市场一体化发展等。</w:t>
      </w:r>
    </w:p>
    <w:p w14:paraId="0F617E36"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3.电子信息领域：新型显示和智能终端、智能传感器和半导体、光电、先进计算等。</w:t>
      </w:r>
    </w:p>
    <w:p w14:paraId="2A33A600"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4.先进装备领域：新型电力（新能源）装备、先进工程机械、先进农机装备、机器人和数控机床、航空航天及卫星应用、节能环保装备等。</w:t>
      </w:r>
    </w:p>
    <w:p w14:paraId="1A741350"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5.现代医药领域：生物医药、高端医疗器械及卫材等。</w:t>
      </w:r>
    </w:p>
    <w:p w14:paraId="72159836"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6.现代食品领域：休闲食品、冷链食品、预制菜、酒饮品等。</w:t>
      </w:r>
    </w:p>
    <w:p w14:paraId="417D39A4"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7.现代轻纺领域：纺织服装和现代家居等。</w:t>
      </w:r>
    </w:p>
    <w:p w14:paraId="7C192350" w14:textId="77777777" w:rsidR="007C5717" w:rsidRDefault="00000000">
      <w:pPr>
        <w:adjustRightInd w:val="0"/>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（二）未来产业发展领域</w:t>
      </w:r>
    </w:p>
    <w:p w14:paraId="6B6CB2FD"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1.未来制造领域：人形机器人、高端仪器装备等。</w:t>
      </w:r>
    </w:p>
    <w:p w14:paraId="441B88B9"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2.未来信息领域：量子科技、元宇宙、区块链、人工智能等。</w:t>
      </w:r>
    </w:p>
    <w:p w14:paraId="6F5901F0"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3.未来材料领域：前沿新材料、新一代电子材料等。</w:t>
      </w:r>
    </w:p>
    <w:p w14:paraId="44AC4122"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4.未来能源领域：新型储能、氢能等。</w:t>
      </w:r>
    </w:p>
    <w:p w14:paraId="1F4B9364"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5.未来空间领域：空天卫星及应用、</w:t>
      </w:r>
      <w:proofErr w:type="gramStart"/>
      <w:r>
        <w:rPr>
          <w:rFonts w:ascii="仿宋_GB2312" w:eastAsia="仿宋_GB2312" w:hAnsi="仿宋_GB2312" w:cs="仿宋_GB2312" w:hint="eastAsia"/>
          <w:color w:val="000000"/>
          <w:sz w:val="32"/>
          <w:szCs w:val="32"/>
        </w:rPr>
        <w:t>低空经济</w:t>
      </w:r>
      <w:proofErr w:type="gramEnd"/>
      <w:r>
        <w:rPr>
          <w:rFonts w:ascii="仿宋_GB2312" w:eastAsia="仿宋_GB2312" w:hAnsi="仿宋_GB2312" w:cs="仿宋_GB2312" w:hint="eastAsia"/>
          <w:color w:val="000000"/>
          <w:sz w:val="32"/>
          <w:szCs w:val="32"/>
        </w:rPr>
        <w:t>等。</w:t>
      </w:r>
    </w:p>
    <w:p w14:paraId="3162153B" w14:textId="77777777" w:rsidR="007C5717" w:rsidRDefault="00000000">
      <w:pPr>
        <w:adjustRightInd w:val="0"/>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6.未来健康领域：生物工程、高端医疗器械等。</w:t>
      </w:r>
    </w:p>
    <w:p w14:paraId="1AD5513A" w14:textId="77777777" w:rsidR="007C5717" w:rsidRDefault="00000000">
      <w:pPr>
        <w:adjustRightInd w:val="0"/>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（三）其他领域</w:t>
      </w:r>
    </w:p>
    <w:p w14:paraId="0499DAEB" w14:textId="77777777" w:rsidR="007C5717" w:rsidRDefault="00000000">
      <w:pPr>
        <w:adjustRightInd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其他符合国家和河南发展战略需求的重要领域。</w:t>
      </w:r>
    </w:p>
    <w:sectPr w:rsidR="007C5717">
      <w:footerReference w:type="default" r:id="rId7"/>
      <w:pgSz w:w="11906" w:h="16838"/>
      <w:pgMar w:top="2041" w:right="1361" w:bottom="170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B37DC" w14:textId="77777777" w:rsidR="001C3D61" w:rsidRDefault="001C3D61">
      <w:pPr>
        <w:rPr>
          <w:rFonts w:hint="eastAsia"/>
        </w:rPr>
      </w:pPr>
      <w:r>
        <w:separator/>
      </w:r>
    </w:p>
  </w:endnote>
  <w:endnote w:type="continuationSeparator" w:id="0">
    <w:p w14:paraId="0C9AFA1A" w14:textId="77777777" w:rsidR="001C3D61" w:rsidRDefault="001C3D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278E" w14:textId="77777777" w:rsidR="007C5717" w:rsidRDefault="00000000">
    <w:pPr>
      <w:pStyle w:val="a3"/>
      <w:rPr>
        <w:rFonts w:hint="eastAsia"/>
      </w:rPr>
    </w:pPr>
    <w:r>
      <w:rPr>
        <w:noProof/>
      </w:rPr>
      <mc:AlternateContent>
        <mc:Choice Requires="wps">
          <w:drawing>
            <wp:anchor distT="0" distB="0" distL="114300" distR="114300" simplePos="0" relativeHeight="251658240" behindDoc="0" locked="0" layoutInCell="1" allowOverlap="1" wp14:anchorId="1BD7D91A" wp14:editId="42B08107">
              <wp:simplePos x="0" y="0"/>
              <wp:positionH relativeFrom="margin">
                <wp:align>center</wp:align>
              </wp:positionH>
              <wp:positionV relativeFrom="paragraph">
                <wp:posOffset>0</wp:posOffset>
              </wp:positionV>
              <wp:extent cx="571500" cy="328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0" cy="328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2C76F" w14:textId="77777777" w:rsidR="007C5717" w:rsidRDefault="00000000">
                          <w:pPr>
                            <w:pStyle w:val="a3"/>
                            <w:jc w:val="center"/>
                            <w:rPr>
                              <w:rFonts w:hint="eastAsia"/>
                              <w:sz w:val="24"/>
                              <w:szCs w:val="24"/>
                            </w:rPr>
                          </w:pPr>
                          <w:r>
                            <w:rPr>
                              <w:rFonts w:hint="eastAsia"/>
                              <w:sz w:val="24"/>
                              <w:szCs w:val="24"/>
                            </w:rPr>
                            <w:t>—</w:t>
                          </w:r>
                          <w:r>
                            <w:rPr>
                              <w:rFonts w:ascii="华文宋体" w:eastAsia="华文宋体" w:hAnsi="华文宋体" w:cs="华文宋体" w:hint="eastAsia"/>
                              <w:sz w:val="24"/>
                              <w:szCs w:val="24"/>
                            </w:rPr>
                            <w:fldChar w:fldCharType="begin"/>
                          </w:r>
                          <w:r>
                            <w:rPr>
                              <w:rFonts w:ascii="华文宋体" w:eastAsia="华文宋体" w:hAnsi="华文宋体" w:cs="华文宋体" w:hint="eastAsia"/>
                              <w:sz w:val="24"/>
                              <w:szCs w:val="24"/>
                            </w:rPr>
                            <w:instrText xml:space="preserve"> PAGE  \* MERGEFORMAT </w:instrText>
                          </w:r>
                          <w:r>
                            <w:rPr>
                              <w:rFonts w:ascii="华文宋体" w:eastAsia="华文宋体" w:hAnsi="华文宋体" w:cs="华文宋体" w:hint="eastAsia"/>
                              <w:sz w:val="24"/>
                              <w:szCs w:val="24"/>
                            </w:rPr>
                            <w:fldChar w:fldCharType="separate"/>
                          </w:r>
                          <w:r>
                            <w:rPr>
                              <w:rFonts w:ascii="华文宋体" w:eastAsia="华文宋体" w:hAnsi="华文宋体" w:cs="华文宋体" w:hint="eastAsia"/>
                              <w:sz w:val="24"/>
                              <w:szCs w:val="24"/>
                            </w:rPr>
                            <w:t>1</w:t>
                          </w:r>
                          <w:r>
                            <w:rPr>
                              <w:rFonts w:ascii="华文宋体" w:eastAsia="华文宋体" w:hAnsi="华文宋体" w:cs="华文宋体" w:hint="eastAsia"/>
                              <w:sz w:val="24"/>
                              <w:szCs w:val="24"/>
                            </w:rPr>
                            <w:fldChar w:fldCharType="end"/>
                          </w:r>
                          <w:r>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BD7D91A" id="_x0000_t202" coordsize="21600,21600" o:spt="202" path="m,l,21600r21600,l21600,xe">
              <v:stroke joinstyle="miter"/>
              <v:path gradientshapeok="t" o:connecttype="rect"/>
            </v:shapetype>
            <v:shape id="文本框 1" o:spid="_x0000_s1026" type="#_x0000_t202" style="position:absolute;margin-left:0;margin-top:0;width:45pt;height:25.9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" filled="f" stroked="f" strokeweight=".5pt">
              <v:textbox inset="0,0,0,0">
                <w:txbxContent>
                  <w:p w14:paraId="0852C76F" w14:textId="77777777" w:rsidR="007C5717" w:rsidRDefault="00000000">
                    <w:pPr>
                      <w:pStyle w:val="a3"/>
                      <w:jc w:val="center"/>
                      <w:rPr>
                        <w:rFonts w:hint="eastAsia"/>
                        <w:sz w:val="24"/>
                        <w:szCs w:val="24"/>
                      </w:rPr>
                    </w:pPr>
                    <w:r>
                      <w:rPr>
                        <w:rFonts w:hint="eastAsia"/>
                        <w:sz w:val="24"/>
                        <w:szCs w:val="24"/>
                      </w:rPr>
                      <w:t>—</w:t>
                    </w:r>
                    <w:r>
                      <w:rPr>
                        <w:rFonts w:ascii="华文宋体" w:eastAsia="华文宋体" w:hAnsi="华文宋体" w:cs="华文宋体" w:hint="eastAsia"/>
                        <w:sz w:val="24"/>
                        <w:szCs w:val="24"/>
                      </w:rPr>
                      <w:fldChar w:fldCharType="begin"/>
                    </w:r>
                    <w:r>
                      <w:rPr>
                        <w:rFonts w:ascii="华文宋体" w:eastAsia="华文宋体" w:hAnsi="华文宋体" w:cs="华文宋体" w:hint="eastAsia"/>
                        <w:sz w:val="24"/>
                        <w:szCs w:val="24"/>
                      </w:rPr>
                      <w:instrText xml:space="preserve"> PAGE  \* MERGEFORMAT </w:instrText>
                    </w:r>
                    <w:r>
                      <w:rPr>
                        <w:rFonts w:ascii="华文宋体" w:eastAsia="华文宋体" w:hAnsi="华文宋体" w:cs="华文宋体" w:hint="eastAsia"/>
                        <w:sz w:val="24"/>
                        <w:szCs w:val="24"/>
                      </w:rPr>
                      <w:fldChar w:fldCharType="separate"/>
                    </w:r>
                    <w:r>
                      <w:rPr>
                        <w:rFonts w:ascii="华文宋体" w:eastAsia="华文宋体" w:hAnsi="华文宋体" w:cs="华文宋体" w:hint="eastAsia"/>
                        <w:sz w:val="24"/>
                        <w:szCs w:val="24"/>
                      </w:rPr>
                      <w:t>1</w:t>
                    </w:r>
                    <w:r>
                      <w:rPr>
                        <w:rFonts w:ascii="华文宋体" w:eastAsia="华文宋体" w:hAnsi="华文宋体" w:cs="华文宋体" w:hint="eastAsia"/>
                        <w:sz w:val="24"/>
                        <w:szCs w:val="24"/>
                      </w:rPr>
                      <w:fldChar w:fldCharType="end"/>
                    </w:r>
                    <w:r>
                      <w:rPr>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72467" w14:textId="77777777" w:rsidR="001C3D61" w:rsidRDefault="001C3D61">
      <w:pPr>
        <w:rPr>
          <w:rFonts w:hint="eastAsia"/>
        </w:rPr>
      </w:pPr>
      <w:r>
        <w:separator/>
      </w:r>
    </w:p>
  </w:footnote>
  <w:footnote w:type="continuationSeparator" w:id="0">
    <w:p w14:paraId="6306E61C" w14:textId="77777777" w:rsidR="001C3D61" w:rsidRDefault="001C3D6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E5"/>
    <w:rsid w:val="9DF6C45A"/>
    <w:rsid w:val="DFFA9084"/>
    <w:rsid w:val="FFFF264D"/>
    <w:rsid w:val="000D51C9"/>
    <w:rsid w:val="001365B2"/>
    <w:rsid w:val="001431D6"/>
    <w:rsid w:val="00170F48"/>
    <w:rsid w:val="001A3BF4"/>
    <w:rsid w:val="001B2A53"/>
    <w:rsid w:val="001C3D61"/>
    <w:rsid w:val="002D5577"/>
    <w:rsid w:val="003F1469"/>
    <w:rsid w:val="0070004E"/>
    <w:rsid w:val="00713CA8"/>
    <w:rsid w:val="007C5717"/>
    <w:rsid w:val="0083111F"/>
    <w:rsid w:val="008F51E5"/>
    <w:rsid w:val="00964522"/>
    <w:rsid w:val="00AA4679"/>
    <w:rsid w:val="00AC544B"/>
    <w:rsid w:val="00F33171"/>
    <w:rsid w:val="00F75553"/>
    <w:rsid w:val="582F3FB8"/>
    <w:rsid w:val="71F3B08F"/>
    <w:rsid w:val="7EC657C7"/>
    <w:rsid w:val="7FCF9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ADC7"/>
  <w15:docId w15:val="{DF998F5B-A2C4-4895-9FB2-7BE6790D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新显 周</dc:creator>
  <cp:lastModifiedBy>hpj</cp:lastModifiedBy>
  <cp:revision>5</cp:revision>
  <cp:lastPrinted>2024-11-14T17:33:00Z</cp:lastPrinted>
  <dcterms:created xsi:type="dcterms:W3CDTF">2024-11-15T07:13:00Z</dcterms:created>
  <dcterms:modified xsi:type="dcterms:W3CDTF">2024-11-15T07:14:00Z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